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firstLine="709"/>
        <w:jc w:val="center"/>
        <w:outlineLvl w:val="0"/>
        <w:rPr>
          <w:rFonts w:ascii="Times New Roman" w:hAnsi="Times New Roman"/>
          <w:sz w:val="32"/>
          <w:szCs w:val="32"/>
        </w:rPr>
      </w:pPr>
      <w:r>
        <w:rPr>
          <w:rFonts w:eastAsia="Times New Roman" w:cs="Times New Roman" w:ascii="Times New Roman" w:hAnsi="Times New Roman"/>
          <w:b/>
          <w:bCs/>
          <w:color w:val="333333"/>
          <w:kern w:val="2"/>
          <w:sz w:val="32"/>
          <w:szCs w:val="32"/>
          <w:lang w:eastAsia="ru-RU"/>
        </w:rPr>
        <w:t>Памятка населению</w:t>
      </w:r>
    </w:p>
    <w:p>
      <w:pPr>
        <w:pStyle w:val="Normal"/>
        <w:ind w:firstLine="709"/>
        <w:jc w:val="center"/>
        <w:rPr>
          <w:rFonts w:ascii="Times New Roman" w:hAnsi="Times New Roman"/>
          <w:sz w:val="32"/>
          <w:szCs w:val="32"/>
        </w:rPr>
      </w:pPr>
      <w:r>
        <w:rPr>
          <w:rFonts w:eastAsia="Times New Roman" w:cs="Arial" w:ascii="Times New Roman" w:hAnsi="Times New Roman"/>
          <w:b/>
          <w:bCs/>
          <w:color w:val="242424"/>
          <w:sz w:val="32"/>
          <w:szCs w:val="32"/>
          <w:lang w:eastAsia="ru-RU"/>
        </w:rPr>
        <w:t>по действиям в условиях возможного биологического заражения</w:t>
      </w:r>
    </w:p>
    <w:p>
      <w:pPr>
        <w:pStyle w:val="Normal"/>
        <w:ind w:firstLine="709"/>
        <w:jc w:val="center"/>
        <w:rPr>
          <w:rFonts w:ascii="Arial" w:hAnsi="Arial" w:eastAsia="Times New Roman" w:cs="Arial"/>
          <w:b/>
          <w:b/>
          <w:bCs/>
          <w:color w:val="242424"/>
          <w:sz w:val="20"/>
          <w:szCs w:val="20"/>
          <w:lang w:eastAsia="ru-RU"/>
        </w:rPr>
      </w:pPr>
      <w:r>
        <w:rPr>
          <w:rFonts w:eastAsia="Times New Roman" w:cs="Arial" w:ascii="Arial" w:hAnsi="Arial"/>
          <w:b/>
          <w:bCs/>
          <w:color w:val="242424"/>
          <w:sz w:val="20"/>
          <w:szCs w:val="20"/>
          <w:lang w:eastAsia="ru-RU"/>
        </w:rPr>
      </w:r>
    </w:p>
    <w:p>
      <w:pPr>
        <w:pStyle w:val="Normal"/>
        <w:ind w:firstLine="709"/>
        <w:jc w:val="center"/>
        <w:rPr>
          <w:rFonts w:ascii="Arial" w:hAnsi="Arial" w:eastAsia="Times New Roman" w:cs="Arial"/>
          <w:color w:val="242424"/>
          <w:sz w:val="20"/>
          <w:szCs w:val="20"/>
          <w:lang w:eastAsia="ru-RU"/>
        </w:rPr>
      </w:pPr>
      <w:r>
        <w:rPr>
          <w:rFonts w:eastAsia="Times New Roman" w:cs="Arial" w:ascii="Arial" w:hAnsi="Arial"/>
          <w:color w:val="242424"/>
          <w:sz w:val="20"/>
          <w:szCs w:val="20"/>
          <w:lang w:eastAsia="ru-RU"/>
        </w:rPr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3810</wp:posOffset>
            </wp:positionH>
            <wp:positionV relativeFrom="paragraph">
              <wp:posOffset>44450</wp:posOffset>
            </wp:positionV>
            <wp:extent cx="4594860" cy="2438400"/>
            <wp:effectExtent l="0" t="0" r="0" b="0"/>
            <wp:wrapTight wrapText="bothSides">
              <wp:wrapPolygon edited="0">
                <wp:start x="-17" y="0"/>
                <wp:lineTo x="-17" y="21414"/>
                <wp:lineTo x="21489" y="21414"/>
                <wp:lineTo x="21489" y="0"/>
                <wp:lineTo x="-17" y="0"/>
              </wp:wrapPolygon>
            </wp:wrapTight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В</w:t>
      </w: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 xml:space="preserve"> результате применения биологического оружия возможны массовые заболевания особо опасными инфекционными болезнями людей (чума, холера, натуральная оспа, сибирская язва) и животных (чума крупного рогатого скота, ящур, сап, сибирская язва и др.), а также поражение сельскохозяйственных культур на больших площадях.</w:t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В целях предупреждения распространения биологического заражения и ликвидации возникшего очага поражения проводится комплекс изоляционно-ограничительных мероприятий.</w:t>
      </w:r>
    </w:p>
    <w:p>
      <w:pPr>
        <w:pStyle w:val="Normal"/>
        <w:numPr>
          <w:ilvl w:val="0"/>
          <w:numId w:val="0"/>
        </w:numPr>
        <w:outlineLvl w:val="3"/>
        <w:rPr>
          <w:rFonts w:eastAsia="Times New Roman" w:cs="Arial"/>
          <w:b/>
          <w:b/>
          <w:bCs/>
          <w:color w:val="333333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firstLine="567"/>
        <w:jc w:val="left"/>
        <w:outlineLvl w:val="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eastAsia="Times New Roman" w:cs="Arial" w:ascii="Times New Roman" w:hAnsi="Times New Roman"/>
          <w:b/>
          <w:bCs/>
          <w:color w:val="333333"/>
          <w:sz w:val="28"/>
          <w:szCs w:val="28"/>
          <w:lang w:eastAsia="ru-RU"/>
        </w:rPr>
        <w:t>Возбудители инфекций</w:t>
      </w:r>
    </w:p>
    <w:p>
      <w:pPr>
        <w:pStyle w:val="Normal"/>
        <w:widowControl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Возбудителями инфекционных заболевания являются болезнетворные микроорганизмы (бактерии, рикетсии, вирусы, грибки) и вырабатываемые некоторыми из них яды (токсины). Они могут попасть в организм человека при работе с зараженными животными, загрязненными предметами – через раны и трещины на руках, при употреблении в пищу зараженных продуктов питания и воды, недостаточно обработанных термически, воздушно-капельным методом при вдыхании.</w:t>
      </w:r>
    </w:p>
    <w:p>
      <w:pPr>
        <w:pStyle w:val="Normal"/>
        <w:ind w:firstLine="709"/>
        <w:jc w:val="both"/>
        <w:rPr>
          <w:rFonts w:ascii="Arial" w:hAnsi="Arial" w:eastAsia="Times New Roman" w:cs="Arial"/>
          <w:color w:val="242424"/>
          <w:sz w:val="20"/>
          <w:szCs w:val="20"/>
          <w:lang w:eastAsia="ru-RU"/>
        </w:rPr>
      </w:pPr>
      <w:r>
        <w:rPr>
          <w:rFonts w:eastAsia="Times New Roman" w:cs="Arial" w:ascii="Arial" w:hAnsi="Arial"/>
          <w:color w:val="242424"/>
          <w:sz w:val="20"/>
          <w:szCs w:val="20"/>
          <w:lang w:eastAsia="ru-RU"/>
        </w:rPr>
      </w:r>
    </w:p>
    <w:p>
      <w:pPr>
        <w:pStyle w:val="Normal"/>
        <w:numPr>
          <w:ilvl w:val="0"/>
          <w:numId w:val="0"/>
        </w:numPr>
        <w:ind w:firstLine="708"/>
        <w:outlineLvl w:val="3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333333"/>
          <w:sz w:val="28"/>
          <w:szCs w:val="28"/>
          <w:lang w:eastAsia="ru-RU"/>
        </w:rPr>
        <w:t>Меры защиты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От биологического оружия защищают убежища и противорадиационные укрытия, оборудованные фильтровентиляционными установками, средства индивидуальной защиты органов дыхания и кожи, а также специальные средства противоэпидемической защиты: предохранительные прививки, сыворотки, антибиотики.</w:t>
      </w:r>
    </w:p>
    <w:p>
      <w:pPr>
        <w:pStyle w:val="Normal"/>
        <w:numPr>
          <w:ilvl w:val="0"/>
          <w:numId w:val="0"/>
        </w:numPr>
        <w:ind w:firstLine="708"/>
        <w:outlineLvl w:val="4"/>
        <w:rPr>
          <w:rFonts w:eastAsia="Times New Roman" w:cs="Arial"/>
          <w:b/>
          <w:b/>
          <w:bCs/>
          <w:color w:val="333333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ind w:firstLine="708"/>
        <w:outlineLvl w:val="4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/>
          <w:bCs/>
          <w:color w:val="333333"/>
          <w:sz w:val="28"/>
          <w:szCs w:val="28"/>
          <w:lang w:eastAsia="ru-RU"/>
        </w:rPr>
        <w:t>Правила поведения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Нельзя без специального разрешения покидать местожительство. Без крайней необходимости не выходите из дома, избегайте места большого скопления людей.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Дважды в сутки измеряйте температуру себе и членам семьи. Если она повысилась, и вы плохо себя чувствуете, изолируйтесь от окружающих в отдельной комнате или отделитесь ширмой. Срочно сообщите о заболевании в медицинское учреждение.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Если вы не сможете сами установить характер болезни, действуйте так, как следует действовать при инфекционных заболеваниях.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Обязательно проводите ежедневную влажную уборку помещения с использованием дезинфицирующих растворов. Мусор сжигайте.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Уничтожайте грызунов и насекомых – возможных переносчиков заболеваний.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Строго соблюдайте правила личной гигиены и общественной гигиены. Тщательно, особенно перед приемом пищи, мойте руки с мылом.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Воду используйте из проверенных источников и пейте только кипяченную.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Сырые овощи и фрукты после мытья обдайте кипятком.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При общении с больным надевайте халат, косынку и ватно-марлевую повязку.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Выделите больному отдельную постель, полотенце и посуду. Регулярно их стирайте и мойте.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242424"/>
          <w:sz w:val="28"/>
          <w:szCs w:val="28"/>
          <w:lang w:eastAsia="ru-RU"/>
        </w:rPr>
        <w:t>При госпитализации больного проведите в квартире дезинфекцию; постельное белье и посуду прокипятите в течение 15 минут в 2% растворе соды или замочите на 2 часа в 2% растворе дезинфицирующего средства. Затем посуду обмойте горячей водой, белье прогладьте, комнату проветрите.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orient="landscape" w:w="16838" w:h="11906"/>
      <w:pgMar w:left="1134" w:right="678" w:header="0" w:top="1155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d1d7d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LibreOffice/6.4.7.2$Linux_X86_64 LibreOffice_project/40$Build-2</Application>
  <Pages>1</Pages>
  <Words>405</Words>
  <Characters>2312</Characters>
  <CharactersWithSpaces>2712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2022-09-16T08:41:00Z</dcterms:created>
  <dc:creator>Евгений Бабенков</dc:creator>
  <dc:description/>
  <dc:language>ru-RU</dc:language>
  <cp:lastModifiedBy/>
  <dcterms:modified xsi:type="dcterms:W3CDTF">2022-10-10T09:40:39Z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